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80" w:lineRule="exact"/>
        <w:jc w:val="center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/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院政办字〔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</w:rPr>
        <w:t>8〕27号</w:t>
      </w:r>
    </w:p>
    <w:p>
      <w:pPr>
        <w:adjustRightInd/>
        <w:spacing w:line="360" w:lineRule="auto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关于开展2018年新乡学院“最美老师”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评选活动的通知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各学院、各部门：</w:t>
      </w:r>
    </w:p>
    <w:p>
      <w:pPr>
        <w:widowControl/>
        <w:spacing w:line="600" w:lineRule="exact"/>
        <w:ind w:firstLine="66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展现我校广大教师爱岗敬业、乐于奉献、爱生如子、为人师表的精神风貌，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/>
        </w:rPr>
        <w:t>决定在我校开展新乡学院“最美老师”评选活动，通过活动评选出学生心目中的先进教职工典范。现将有关事项通知如下：</w:t>
      </w:r>
    </w:p>
    <w:p>
      <w:pPr>
        <w:numPr>
          <w:ilvl w:val="0"/>
          <w:numId w:val="1"/>
        </w:numPr>
        <w:autoSpaceDE/>
        <w:autoSpaceDN/>
        <w:adjustRightInd/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活动主题</w:t>
      </w:r>
    </w:p>
    <w:p>
      <w:p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新院，感谢青春有你</w:t>
      </w:r>
    </w:p>
    <w:p>
      <w:pPr>
        <w:numPr>
          <w:ilvl w:val="0"/>
          <w:numId w:val="1"/>
        </w:numPr>
        <w:autoSpaceDE/>
        <w:autoSpaceDN/>
        <w:adjustRightInd/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参评对象及名额分配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参评对象：我校全体教职工老师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评选名额分配：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共评选“最美老师”十名。其中，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一线专职教师六名，行政管理人员（含学院行政岗老师、专职团干老师、辅导员老师、行政部门老师等）两名、工勤人员（含保安、厨师、楼管等）两名。</w:t>
      </w:r>
    </w:p>
    <w:p>
      <w:pPr>
        <w:numPr>
          <w:ilvl w:val="0"/>
          <w:numId w:val="1"/>
        </w:numPr>
        <w:autoSpaceDE/>
        <w:autoSpaceDN/>
        <w:adjustRightInd/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参评条件</w:t>
      </w:r>
    </w:p>
    <w:p>
      <w:pPr>
        <w:autoSpaceDE/>
        <w:autoSpaceDN/>
        <w:adjustRightInd/>
        <w:spacing w:line="600" w:lineRule="exact"/>
        <w:ind w:left="64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  <w:t>推荐老师需具备以下条件：</w:t>
      </w:r>
    </w:p>
    <w:p>
      <w:pPr>
        <w:numPr>
          <w:ilvl w:val="0"/>
          <w:numId w:val="2"/>
        </w:num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师德高尚，堪称楷模。工作踏实、作风正派，模范履行“最美老师”职责。</w:t>
      </w:r>
    </w:p>
    <w:p>
      <w:pPr>
        <w:numPr>
          <w:ilvl w:val="0"/>
          <w:numId w:val="2"/>
        </w:num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教风严谨，业务精湛。注重培养学生学习兴趣，激励学生主动学习，引导和培养学生创新性思维。</w:t>
      </w:r>
    </w:p>
    <w:p>
      <w:pPr>
        <w:numPr>
          <w:ilvl w:val="0"/>
          <w:numId w:val="2"/>
        </w:num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爱岗敬业，乐于奉献。热爱教育事业，热爱本职工作，不怕艰苦，淡泊名利，乐于奉献，无怨无悔。</w:t>
      </w:r>
    </w:p>
    <w:p>
      <w:pPr>
        <w:numPr>
          <w:ilvl w:val="0"/>
          <w:numId w:val="2"/>
        </w:num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关心学生，尊重学生，爱护学生。从严律己，以身作则，注重自身学习，不断提高自身能力和业务水平。</w:t>
      </w:r>
    </w:p>
    <w:p>
      <w:pPr>
        <w:numPr>
          <w:ilvl w:val="0"/>
          <w:numId w:val="2"/>
        </w:num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敢于创新，业绩显著。具有较先进的教育理念和方法，积极参加课程改革、课题研究，勇于承担学校的教研任务，教学育人成绩突出。</w:t>
      </w:r>
    </w:p>
    <w:p>
      <w:pPr>
        <w:numPr>
          <w:ilvl w:val="0"/>
          <w:numId w:val="2"/>
        </w:num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积极参与推进学校转型发展工作，教学过程中能够严格执行新课程教学大纲。</w:t>
      </w:r>
    </w:p>
    <w:p>
      <w:pPr>
        <w:numPr>
          <w:ilvl w:val="0"/>
          <w:numId w:val="2"/>
        </w:numPr>
        <w:autoSpaceDE/>
        <w:autoSpaceDN/>
        <w:adjustRightIn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积极担任“创新引飞”导师，在指导学生学习、成才、创新创业、就业等方面做出突出成绩。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/>
        </w:rPr>
        <w:t>对存在以下行为的老师不予推荐：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1. 损害国家利益，损害学生和学校合法权益的行为；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2. 在教育教学活动中有违背党的路线方针政策的言行；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3. 在科研工作中弄虚作假、抄袭剽窃、篡改侵吞他人学术成果、违规使用科研经费以及滥用学术资源和学术影响；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4. 影响正常教育教学工作的兼职兼薪行为；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5. 在招生、考试、学生推优等工作中徇私舞弊；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6. 索要或收受学生及家长的礼品、礼金、有价证券、支付凭证等财物；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7. 对学生实施</w:t>
      </w:r>
      <w:r>
        <w:fldChar w:fldCharType="begin"/>
      </w:r>
      <w:r>
        <w:instrText xml:space="preserve"> HYPERLINK "https://baike.sogou.com/v525161.htm" \t "https://baike.sogou.com/_blank"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性骚扰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或与学生发生</w:t>
      </w:r>
      <w:r>
        <w:fldChar w:fldCharType="begin"/>
      </w:r>
      <w:r>
        <w:instrText xml:space="preserve"> HYPERLINK "https://baike.sogou.com/v76097103.htm" \t "https://baike.sogou.com/_blank"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不正当关系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；</w:t>
      </w:r>
    </w:p>
    <w:p>
      <w:p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8. 其他违反高校教师职业道德的行为。</w:t>
      </w:r>
    </w:p>
    <w:p>
      <w:pPr>
        <w:numPr>
          <w:ilvl w:val="0"/>
          <w:numId w:val="1"/>
        </w:numPr>
        <w:autoSpaceDE/>
        <w:autoSpaceDN/>
        <w:adjustRightInd/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评选程序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 </w:t>
      </w:r>
    </w:p>
    <w:p>
      <w:pPr>
        <w:widowControl/>
        <w:numPr>
          <w:ilvl w:val="0"/>
          <w:numId w:val="3"/>
        </w:num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宣传发动阶段（5月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 xml:space="preserve"> 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日—5月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 xml:space="preserve"> 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）：制定和下发“最美老师”评选活动方案，通过校园宣传渠道发布信息，公布推荐评选办法，启动评选活动，大力宣传开展“最美老师”评选活动的目的、意义，广泛发动全校广大同学积极参与，营造良好氛围。</w:t>
      </w:r>
    </w:p>
    <w:p>
      <w:pPr>
        <w:widowControl/>
        <w:numPr>
          <w:ilvl w:val="0"/>
          <w:numId w:val="3"/>
        </w:num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初评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推荐阶段（5月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 xml:space="preserve"> 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日—5月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 xml:space="preserve"> 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日）：各学院、部门积极参与“最美老师”评选活动，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组织开展初评工作，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参照评选标准从本校范围内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若干教职工老师作为“最美老师”候选人。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上交“最美老师”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推荐表，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院部分教学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委员会推荐报告，学院（含学生）、部门投票结果及公示表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，由学院、部门进行统一审核把关并将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相关材料纸质版送至大学生活动中心校学生会办公室，电子版送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至校学生会邮箱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xxuxsh@163.com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（注：人员推荐名额分配表详情见附件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报名表详情见附件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widowControl/>
        <w:numPr>
          <w:ilvl w:val="0"/>
          <w:numId w:val="3"/>
        </w:numPr>
        <w:autoSpaceDE/>
        <w:autoSpaceDN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评选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阶段（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 xml:space="preserve"> 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评选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阶段采用新乡学院团委官方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微信和线下投票两种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投票方式，其中新乡学院团委官方微信得分占权重的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%，线下投票占权重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%（依据东、西区餐厅门口以及大学生活动中心一楼设置的投票箱为准，线下评选时间为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5月26日--5月 31日中午12:00--13:50、晚上19:00--20:30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）。根据投票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结果产生“最美老师”（拟选），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在全校范围内公示3个工作日。公示无异议后，确定为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最美老师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人选。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（注：投票分为线上投票和线下投票，具体投票规则和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widowControl/>
        <w:numPr>
          <w:ilvl w:val="0"/>
          <w:numId w:val="4"/>
        </w:numPr>
        <w:autoSpaceDE/>
        <w:autoSpaceDN/>
        <w:adjustRightInd/>
        <w:spacing w:line="560" w:lineRule="exact"/>
        <w:ind w:firstLine="640" w:firstLineChars="200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lang w:val="en-US"/>
        </w:rPr>
        <w:t>表彰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 xml:space="preserve">    评选出的十位“最美老师”将在毕业典礼上进行表彰，并颁发荣誉证书。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人员推荐名额分配表</w:t>
      </w:r>
    </w:p>
    <w:p>
      <w:pPr>
        <w:widowControl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2018年新乡学院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“最美老师”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推荐表</w:t>
      </w:r>
    </w:p>
    <w:p>
      <w:pPr>
        <w:widowControl/>
        <w:spacing w:line="560" w:lineRule="exact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.投票规则和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方式</w:t>
      </w:r>
    </w:p>
    <w:p>
      <w:pPr>
        <w:spacing w:line="560" w:lineRule="exact"/>
        <w:ind w:firstLine="2560" w:firstLineChars="8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000" w:firstLineChars="1875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2018年5月10日</w:t>
      </w:r>
    </w:p>
    <w:tbl>
      <w:tblPr>
        <w:tblStyle w:val="7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114" w:type="dxa"/>
            <w:tcBorders>
              <w:left w:val="nil"/>
              <w:right w:val="nil"/>
            </w:tcBorders>
            <w:vAlign w:val="center"/>
          </w:tcPr>
          <w:p>
            <w:pPr>
              <w:tabs>
                <w:tab w:val="left" w:pos="7740"/>
              </w:tabs>
              <w:adjustRightInd/>
              <w:spacing w:beforeLines="-20" w:beforeAutospacing="1" w:line="60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新乡学院院长办公室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8年5月10日印发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5" w:h="16837"/>
          <w:pgMar w:top="2098" w:right="1474" w:bottom="1985" w:left="1588" w:header="851" w:footer="1247" w:gutter="0"/>
          <w:pgNumType w:fmt="numberInDash"/>
          <w:cols w:space="720" w:num="1"/>
          <w:docGrid w:linePitch="272" w:charSpace="0"/>
        </w:sectPr>
      </w:pPr>
    </w:p>
    <w:p>
      <w:pPr>
        <w:rPr>
          <w:rFonts w:hint="eastAsia" w:ascii="黑体" w:hAnsi="黑体" w:eastAsia="黑体" w:cs="仿宋_GB2312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人员推荐名额分配表</w:t>
      </w:r>
    </w:p>
    <w:tbl>
      <w:tblPr>
        <w:tblStyle w:val="8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候选人分类</w:t>
            </w:r>
          </w:p>
        </w:tc>
        <w:tc>
          <w:tcPr>
            <w:tcW w:w="59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一线专职教师</w:t>
            </w:r>
          </w:p>
        </w:tc>
        <w:tc>
          <w:tcPr>
            <w:tcW w:w="59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各学院推荐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行政管理人员</w:t>
            </w:r>
          </w:p>
        </w:tc>
        <w:tc>
          <w:tcPr>
            <w:tcW w:w="59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各学院、各行政部门推荐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工勤人员</w:t>
            </w:r>
          </w:p>
        </w:tc>
        <w:tc>
          <w:tcPr>
            <w:tcW w:w="59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保卫处、后勤、宿管中心各推荐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2名</w:t>
            </w:r>
          </w:p>
        </w:tc>
      </w:tr>
    </w:tbl>
    <w:p>
      <w:pPr>
        <w:sectPr>
          <w:pgSz w:w="11905" w:h="16837"/>
          <w:pgMar w:top="2098" w:right="1474" w:bottom="1985" w:left="1588" w:header="851" w:footer="851" w:gutter="0"/>
          <w:pgNumType w:fmt="numberInDash"/>
          <w:cols w:space="720" w:num="1"/>
          <w:docGrid w:linePitch="272" w:charSpace="0"/>
        </w:sect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 xml:space="preserve">：         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2018年新乡学院“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最美老师”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推荐表</w:t>
      </w:r>
    </w:p>
    <w:tbl>
      <w:tblPr>
        <w:tblStyle w:val="7"/>
        <w:tblpPr w:leftFromText="180" w:rightFromText="180" w:vertAnchor="text" w:tblpXSpec="center" w:tblpY="97"/>
        <w:tblOverlap w:val="never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0"/>
        <w:gridCol w:w="1769"/>
        <w:gridCol w:w="1132"/>
        <w:gridCol w:w="53"/>
        <w:gridCol w:w="1076"/>
        <w:gridCol w:w="1488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  名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    别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43" w:type="dxa"/>
            <w:vMerge w:val="restart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可单独发送至邮箱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民    族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43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学院、部门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手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机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43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工    号</w:t>
            </w:r>
          </w:p>
        </w:tc>
        <w:tc>
          <w:tcPr>
            <w:tcW w:w="176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邮箱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43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40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个人格言：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40" w:type="dxa"/>
            <w:gridSpan w:val="8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事迹简介（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540" w:type="dxa"/>
            <w:gridSpan w:val="8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4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4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4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4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4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spacing w:line="360" w:lineRule="auto"/>
              <w:ind w:firstLine="880" w:firstLineChars="400"/>
              <w:jc w:val="left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详细事迹，请另附材料。</w:t>
            </w:r>
          </w:p>
          <w:p>
            <w:pPr>
              <w:widowControl/>
              <w:wordWrap w:val="0"/>
              <w:spacing w:line="360" w:lineRule="auto"/>
              <w:ind w:right="44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049" w:type="dxa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院部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分教学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委员会意见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3184" w:type="dxa"/>
            <w:gridSpan w:val="4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</w:p>
          <w:p>
            <w:pPr>
              <w:widowControl/>
              <w:spacing w:line="360" w:lineRule="auto"/>
              <w:ind w:firstLine="1980" w:firstLineChars="900"/>
              <w:jc w:val="right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 xml:space="preserve"> 盖章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年    月    日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学院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或部门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意见</w:t>
            </w:r>
          </w:p>
        </w:tc>
        <w:tc>
          <w:tcPr>
            <w:tcW w:w="3231" w:type="dxa"/>
            <w:gridSpan w:val="2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盖 章</w:t>
            </w:r>
          </w:p>
          <w:p>
            <w:pPr>
              <w:widowControl/>
              <w:spacing w:line="360" w:lineRule="auto"/>
              <w:jc w:val="right"/>
              <w:rPr>
                <w:rFonts w:hint="eastAsia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 xml:space="preserve"> 注：行政部门及工勤人员不用填写学术委员会意见。</w:t>
      </w:r>
    </w:p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投票规则和方式：</w:t>
      </w:r>
    </w:p>
    <w:p>
      <w:pPr>
        <w:autoSpaceDE/>
        <w:autoSpaceDN/>
        <w:adjustRightInd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1.关注“新乡学院团委”微信公众号进行投票</w:t>
      </w:r>
    </w:p>
    <w:p>
      <w:pPr>
        <w:autoSpaceDE/>
        <w:autoSpaceDN/>
        <w:adjustRightInd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（1）线上投票时间：5月 25日--5月 31日</w:t>
      </w:r>
    </w:p>
    <w:p>
      <w:pPr>
        <w:autoSpaceDE/>
        <w:autoSpaceDN/>
        <w:adjustRightInd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（2）投票方式：每人每天限投一次，投票需投满十人（其中，一线专职教师六名、行政管理人员两名、工勤人员两名）</w:t>
      </w:r>
    </w:p>
    <w:p>
      <w:pPr>
        <w:autoSpaceDE/>
        <w:autoSpaceDN/>
        <w:adjustRightInd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2.投票箱</w:t>
      </w:r>
    </w:p>
    <w:p>
      <w:pPr>
        <w:autoSpaceDE/>
        <w:autoSpaceDN/>
        <w:adjustRightInd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（1）时间：5月26日--5月31日，中午12:00--13:50、晚上19:00--20:30</w:t>
      </w:r>
    </w:p>
    <w:p>
      <w:pPr>
        <w:autoSpaceDE/>
        <w:autoSpaceDN/>
        <w:adjustRightInd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（2）地点：东、西区餐厅门口；大学生活动中心一楼</w:t>
      </w:r>
    </w:p>
    <w:p>
      <w:pPr>
        <w:autoSpaceDE/>
        <w:autoSpaceDN/>
        <w:adjustRightInd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（3）投票规则：投票期间每人仅限一票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每张选票需投满十人（其中，一线专职教师六名、行政管理人员两名、工勤人员两名）多投少投为弃票。线下投票需携带学生证、校园卡并填写学生个人信息（学号、姓名、联系方式）</w:t>
      </w:r>
    </w:p>
    <w:p>
      <w:pPr>
        <w:autoSpaceDE/>
        <w:autoSpaceDN/>
        <w:adjustRightInd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除上述投票方式外，其余投票方式无效，本规程解释权属组委会，未尽事宜另行通知。</w:t>
      </w:r>
    </w:p>
    <w:p>
      <w:pPr>
        <w:rPr>
          <w:sz w:val="32"/>
          <w:szCs w:val="32"/>
        </w:rPr>
      </w:pPr>
    </w:p>
    <w:sectPr>
      <w:pgSz w:w="11905" w:h="16837"/>
      <w:pgMar w:top="2098" w:right="1474" w:bottom="1985" w:left="1588" w:header="851" w:footer="1247" w:gutter="0"/>
      <w:pgNumType w:fmt="numberInDash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- 5 -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1"/>
      <w:widowControl/>
      <w:ind w:right="360" w:firstLine="360"/>
      <w:rPr>
        <w:rFonts w:ascii="仿宋_GB2312" w:eastAsia="仿宋_GB2312" w:cs="仿宋_GB2312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- 4 -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843D"/>
    <w:multiLevelType w:val="singleLevel"/>
    <w:tmpl w:val="5910843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910845A"/>
    <w:multiLevelType w:val="singleLevel"/>
    <w:tmpl w:val="5910845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913ECD6"/>
    <w:multiLevelType w:val="singleLevel"/>
    <w:tmpl w:val="5913ECD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AF26F8F"/>
    <w:multiLevelType w:val="singleLevel"/>
    <w:tmpl w:val="5AF26F8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B32"/>
    <w:rsid w:val="00065290"/>
    <w:rsid w:val="000673DA"/>
    <w:rsid w:val="000C3104"/>
    <w:rsid w:val="000D5CF7"/>
    <w:rsid w:val="00102276"/>
    <w:rsid w:val="00117B44"/>
    <w:rsid w:val="0014129C"/>
    <w:rsid w:val="00186580"/>
    <w:rsid w:val="0019603C"/>
    <w:rsid w:val="001B6B29"/>
    <w:rsid w:val="001F5D07"/>
    <w:rsid w:val="002149FE"/>
    <w:rsid w:val="00264E08"/>
    <w:rsid w:val="00264F3E"/>
    <w:rsid w:val="00265329"/>
    <w:rsid w:val="00273979"/>
    <w:rsid w:val="002A3C23"/>
    <w:rsid w:val="002B4D4A"/>
    <w:rsid w:val="002C7A8B"/>
    <w:rsid w:val="003026D6"/>
    <w:rsid w:val="003055DF"/>
    <w:rsid w:val="003072F4"/>
    <w:rsid w:val="00354DC8"/>
    <w:rsid w:val="003623FD"/>
    <w:rsid w:val="00370030"/>
    <w:rsid w:val="003B4826"/>
    <w:rsid w:val="003E0776"/>
    <w:rsid w:val="003E7748"/>
    <w:rsid w:val="003F7784"/>
    <w:rsid w:val="004022AA"/>
    <w:rsid w:val="00450474"/>
    <w:rsid w:val="00457B32"/>
    <w:rsid w:val="00466833"/>
    <w:rsid w:val="00495F31"/>
    <w:rsid w:val="004B337A"/>
    <w:rsid w:val="004E69F5"/>
    <w:rsid w:val="00560F8C"/>
    <w:rsid w:val="005B6F18"/>
    <w:rsid w:val="00665C2A"/>
    <w:rsid w:val="006A5DFB"/>
    <w:rsid w:val="006C48DA"/>
    <w:rsid w:val="00702D79"/>
    <w:rsid w:val="00730942"/>
    <w:rsid w:val="00772065"/>
    <w:rsid w:val="007F757E"/>
    <w:rsid w:val="00856CDC"/>
    <w:rsid w:val="008574A5"/>
    <w:rsid w:val="008678ED"/>
    <w:rsid w:val="008739DF"/>
    <w:rsid w:val="008972B7"/>
    <w:rsid w:val="008A461E"/>
    <w:rsid w:val="008E419C"/>
    <w:rsid w:val="008E493F"/>
    <w:rsid w:val="009361AC"/>
    <w:rsid w:val="00945700"/>
    <w:rsid w:val="00945CC9"/>
    <w:rsid w:val="00964F39"/>
    <w:rsid w:val="009A0A2A"/>
    <w:rsid w:val="009A1EE6"/>
    <w:rsid w:val="009C4549"/>
    <w:rsid w:val="009D0A65"/>
    <w:rsid w:val="00A04148"/>
    <w:rsid w:val="00A51550"/>
    <w:rsid w:val="00A804CE"/>
    <w:rsid w:val="00A90A34"/>
    <w:rsid w:val="00AB4A5B"/>
    <w:rsid w:val="00AB6891"/>
    <w:rsid w:val="00AD0E68"/>
    <w:rsid w:val="00AF1A3B"/>
    <w:rsid w:val="00B01389"/>
    <w:rsid w:val="00B17B3D"/>
    <w:rsid w:val="00B801AC"/>
    <w:rsid w:val="00B92A21"/>
    <w:rsid w:val="00BA1C38"/>
    <w:rsid w:val="00BC1C2F"/>
    <w:rsid w:val="00BE303A"/>
    <w:rsid w:val="00C0254F"/>
    <w:rsid w:val="00D012EE"/>
    <w:rsid w:val="00D17949"/>
    <w:rsid w:val="00DB0250"/>
    <w:rsid w:val="00DF7BEA"/>
    <w:rsid w:val="00E13938"/>
    <w:rsid w:val="00E6563D"/>
    <w:rsid w:val="00E77648"/>
    <w:rsid w:val="00E95BAA"/>
    <w:rsid w:val="00EA743F"/>
    <w:rsid w:val="00F4465C"/>
    <w:rsid w:val="00F53464"/>
    <w:rsid w:val="00FA1FF7"/>
    <w:rsid w:val="00FB1914"/>
    <w:rsid w:val="00FC3B77"/>
    <w:rsid w:val="00FF2EC8"/>
    <w:rsid w:val="00FF64E9"/>
    <w:rsid w:val="056262ED"/>
    <w:rsid w:val="07AB38B0"/>
    <w:rsid w:val="2E227EAA"/>
    <w:rsid w:val="47287D9C"/>
    <w:rsid w:val="4C176D47"/>
    <w:rsid w:val="7AB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宋体"/>
      <w:kern w:val="0"/>
      <w:sz w:val="20"/>
      <w:szCs w:val="20"/>
      <w:lang w:val="zh-CN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autoSpaceDE/>
      <w:autoSpaceDN/>
      <w:adjustRightInd/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paragraph" w:customStyle="1" w:styleId="11">
    <w:name w:val="?¡¦¡¡¡¡¡¡¡¡¡¡¡¡¡¡¡¡¡¡¡¡¡¡¡¡¡¡¡¡¡¡¡¡¡¡¡¡¡¡¡¡¡¡¡¡¡¡¡¡¡¡¡¡¡¡¡¡¡¡¡¡¡¡¡¡¡¡¡§??????????????????????????????????????????????????????????????????????????"/>
    <w:basedOn w:val="1"/>
    <w:qFormat/>
    <w:uiPriority w:val="99"/>
    <w:pPr>
      <w:tabs>
        <w:tab w:val="center" w:pos="4151"/>
        <w:tab w:val="center" w:pos="8306"/>
      </w:tabs>
      <w:jc w:val="left"/>
    </w:pPr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宋体" w:hAnsi="Times New Roman" w:eastAsia="宋体" w:cs="宋体"/>
      <w:kern w:val="0"/>
      <w:sz w:val="18"/>
      <w:szCs w:val="18"/>
      <w:lang w:val="zh-CN"/>
    </w:rPr>
  </w:style>
  <w:style w:type="character" w:customStyle="1" w:styleId="13">
    <w:name w:val="日期 Char"/>
    <w:basedOn w:val="6"/>
    <w:link w:val="2"/>
    <w:semiHidden/>
    <w:uiPriority w:val="99"/>
    <w:rPr>
      <w:rFonts w:ascii="宋体" w:hAnsi="Times New Roman" w:eastAsia="宋体" w:cs="宋体"/>
      <w:kern w:val="0"/>
      <w:sz w:val="20"/>
      <w:szCs w:val="20"/>
      <w:lang w:val="zh-CN"/>
    </w:rPr>
  </w:style>
  <w:style w:type="character" w:customStyle="1" w:styleId="14">
    <w:name w:val="font81"/>
    <w:basedOn w:val="6"/>
    <w:qFormat/>
    <w:uiPriority w:val="0"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6">
    <w:name w:val="font7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18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9">
    <w:name w:val="font51"/>
    <w:basedOn w:val="6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366</Words>
  <Characters>2090</Characters>
  <Lines>17</Lines>
  <Paragraphs>4</Paragraphs>
  <TotalTime>10</TotalTime>
  <ScaleCrop>false</ScaleCrop>
  <LinksUpToDate>false</LinksUpToDate>
  <CharactersWithSpaces>2452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2018-05-10T10:05:00Z</dcterms:created>
  <dc:creator>武明军</dc:creator>
  <cp:lastModifiedBy>Crankiness</cp:lastModifiedBy>
  <cp:lastPrinted>2018-01-09T10:39:00Z</cp:lastPrinted>
  <dcterms:modified xsi:type="dcterms:W3CDTF">2018-05-14T10:25:54Z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